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37974812"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E46B31" w:rsidRPr="00E46B31">
              <w:rPr>
                <w:rFonts w:cs="Arial"/>
                <w:noProof/>
                <w:szCs w:val="24"/>
              </w:rPr>
              <w:t>SC-082-TW-2026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544428B1"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E46B31" w:rsidRPr="00E46B31">
              <w:rPr>
                <w:rFonts w:cs="Arial"/>
                <w:noProof/>
                <w:szCs w:val="24"/>
              </w:rPr>
              <w:t>Fassadensanierung Borwinstr. 9</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787AB1C4"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E46B31" w:rsidRPr="00E46B31">
              <w:rPr>
                <w:rFonts w:cs="Arial"/>
                <w:noProof/>
                <w:szCs w:val="24"/>
              </w:rPr>
              <w:t>Los 4 - Innenausbau</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008E58AB"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sidR="00E46B31">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3A69"/>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3E7936"/>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46B31"/>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2.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3.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4.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5641</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Andreas Güttler</cp:lastModifiedBy>
  <cp:revision>2</cp:revision>
  <cp:lastPrinted>2020-10-02T05:45:00Z</cp:lastPrinted>
  <dcterms:created xsi:type="dcterms:W3CDTF">2026-05-04T13:44:00Z</dcterms:created>
  <dcterms:modified xsi:type="dcterms:W3CDTF">2026-05-04T13:44:00Z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